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0"/>
          <w:shd w:fill="FFFFFF" w:val="clear"/>
        </w:rPr>
      </w:pPr>
      <w:r>
        <w:rPr>
          <w:rFonts w:ascii="Times New Roman" w:hAnsi="Times New Roman" w:cs="Times New Roman" w:eastAsia="Times New Roman"/>
          <w:b/>
          <w:color w:val="auto"/>
          <w:spacing w:val="0"/>
          <w:position w:val="0"/>
          <w:sz w:val="20"/>
          <w:shd w:fill="FFFFFF" w:val="clear"/>
        </w:rPr>
        <w:t xml:space="preserve">Шпортько Е. С.</w:t>
      </w:r>
    </w:p>
    <w:p>
      <w:pPr>
        <w:spacing w:before="0" w:after="0" w:line="240"/>
        <w:ind w:right="0" w:left="0" w:firstLine="0"/>
        <w:jc w:val="center"/>
        <w:rPr>
          <w:rFonts w:ascii="Times New Roman" w:hAnsi="Times New Roman" w:cs="Times New Roman" w:eastAsia="Times New Roman"/>
          <w:b/>
          <w:color w:val="auto"/>
          <w:spacing w:val="0"/>
          <w:position w:val="0"/>
          <w:sz w:val="20"/>
          <w:shd w:fill="FFFFFF" w:val="clear"/>
        </w:rPr>
      </w:pPr>
      <w:r>
        <w:rPr>
          <w:rFonts w:ascii="Times New Roman" w:hAnsi="Times New Roman" w:cs="Times New Roman" w:eastAsia="Times New Roman"/>
          <w:b/>
          <w:color w:val="auto"/>
          <w:spacing w:val="0"/>
          <w:position w:val="0"/>
          <w:sz w:val="20"/>
          <w:shd w:fill="FFFFFF" w:val="clear"/>
        </w:rPr>
        <w:t xml:space="preserve">Этнокультурный компонент в задачах по математике</w:t>
      </w:r>
    </w:p>
    <w:p>
      <w:pPr>
        <w:spacing w:before="0" w:after="0" w:line="240"/>
        <w:ind w:right="0" w:left="0" w:firstLine="426"/>
        <w:jc w:val="both"/>
        <w:rPr>
          <w:rFonts w:ascii="Times New Roman" w:hAnsi="Times New Roman" w:cs="Times New Roman" w:eastAsia="Times New Roman"/>
          <w:i/>
          <w:color w:val="auto"/>
          <w:spacing w:val="0"/>
          <w:position w:val="0"/>
          <w:sz w:val="20"/>
          <w:shd w:fill="FFFFFF" w:val="clear"/>
        </w:rPr>
      </w:pPr>
      <w:r>
        <w:rPr>
          <w:rFonts w:ascii="Times New Roman" w:hAnsi="Times New Roman" w:cs="Times New Roman" w:eastAsia="Times New Roman"/>
          <w:i/>
          <w:color w:val="auto"/>
          <w:spacing w:val="0"/>
          <w:position w:val="0"/>
          <w:sz w:val="20"/>
          <w:shd w:fill="FFFFFF" w:val="clear"/>
        </w:rPr>
        <w:t xml:space="preserve">Статья посвящена этнокультурному компоненту на уроках математики как важному аспекту обучения и воспитания обучающихся и содержит примеры задач, способствующих развитию интереса к математике. </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426"/>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Ключевые слова: этнокультурный компонент, </w:t>
      </w:r>
      <w:r>
        <w:rPr>
          <w:rFonts w:ascii="Times New Roman" w:hAnsi="Times New Roman" w:cs="Times New Roman" w:eastAsia="Times New Roman"/>
          <w:i/>
          <w:color w:val="000000"/>
          <w:spacing w:val="0"/>
          <w:position w:val="0"/>
          <w:sz w:val="20"/>
          <w:shd w:fill="FFFFFF" w:val="clear"/>
        </w:rPr>
        <w:t xml:space="preserve">патриотизм, духовность, национальное самосознание,</w:t>
      </w:r>
      <w:r>
        <w:rPr>
          <w:rFonts w:ascii="Times New Roman" w:hAnsi="Times New Roman" w:cs="Times New Roman" w:eastAsia="Times New Roman"/>
          <w:i/>
          <w:color w:val="auto"/>
          <w:spacing w:val="0"/>
          <w:position w:val="0"/>
          <w:sz w:val="20"/>
          <w:shd w:fill="auto" w:val="clear"/>
        </w:rPr>
        <w:t xml:space="preserve"> задачи на проценты.</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Shportko E.S.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Ethnocultural component in math problems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426"/>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The article is devoted to the ethnocultural component in the lessons of mathematics as an important aspect of teaching and educating students and contains examples of tasks that contribute to the development of interest in mathematics.</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line="240"/>
        <w:ind w:right="0" w:left="0" w:firstLine="426"/>
        <w:jc w:val="both"/>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Key words: ethnocultural component, patriotism, spirituality, national identity, interest tasks.</w:t>
      </w:r>
    </w:p>
    <w:p>
      <w:pPr>
        <w:spacing w:before="0" w:after="0" w:line="240"/>
        <w:ind w:right="0" w:left="0" w:firstLine="426"/>
        <w:jc w:val="both"/>
        <w:rPr>
          <w:rFonts w:ascii="Times New Roman" w:hAnsi="Times New Roman" w:cs="Times New Roman" w:eastAsia="Times New Roman"/>
          <w:color w:val="auto"/>
          <w:spacing w:val="0"/>
          <w:position w:val="0"/>
          <w:sz w:val="20"/>
          <w:shd w:fill="FFFFFF" w:val="clear"/>
        </w:rPr>
      </w:pPr>
      <w:r>
        <w:rPr>
          <w:rFonts w:ascii="Times New Roman" w:hAnsi="Times New Roman" w:cs="Times New Roman" w:eastAsia="Times New Roman"/>
          <w:color w:val="auto"/>
          <w:spacing w:val="0"/>
          <w:position w:val="0"/>
          <w:sz w:val="20"/>
          <w:shd w:fill="FFFFFF" w:val="clear"/>
        </w:rPr>
        <w:t xml:space="preserve">Значимость этнокультурного компонента в образовании школьников прописана в Федеральном государственном образовательном стандарте основного общего образования, где</w:t>
      </w:r>
      <w:r>
        <w:rPr>
          <w:rFonts w:ascii="Times New Roman" w:hAnsi="Times New Roman" w:cs="Times New Roman" w:eastAsia="Times New Roman"/>
          <w:color w:val="000000"/>
          <w:spacing w:val="0"/>
          <w:position w:val="0"/>
          <w:sz w:val="20"/>
          <w:shd w:fill="FFFFFF" w:val="clear"/>
        </w:rPr>
        <w:t xml:space="preserve"> делается акцент на личностном развитии учащихся: воспитание патриотизма, усвоение ценностей многонациональной страны, своего края, формирование мировоззрения, соответствующего действительности; освоение норм социальной жизни; развитие эстетического понимания мира и т.д. Эти требования могут быть достигнуты при обучении школьников на уроках математики с использованием этнокультурного компонента.</w:t>
      </w:r>
    </w:p>
    <w:p>
      <w:pPr>
        <w:spacing w:before="0" w:after="0" w:line="240"/>
        <w:ind w:right="0" w:left="0" w:firstLine="426"/>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Регионализация в области образования обуславливают интерес как к этнокультурному компоненту в целом, так и к использованию элементов этнокультуры на уроках и во внеклассной работе. Элементы этнокультуры связывают со школьными предметами </w:t>
      </w:r>
      <w:r>
        <w:rPr>
          <w:rFonts w:ascii="Times New Roman" w:hAnsi="Times New Roman" w:cs="Times New Roman" w:eastAsia="Times New Roman"/>
          <w:color w:val="000000"/>
          <w:spacing w:val="0"/>
          <w:position w:val="0"/>
          <w:sz w:val="20"/>
          <w:shd w:fill="auto" w:val="clear"/>
        </w:rPr>
        <w:t xml:space="preserve">–</w:t>
      </w:r>
      <w:r>
        <w:rPr>
          <w:rFonts w:ascii="Times New Roman" w:hAnsi="Times New Roman" w:cs="Times New Roman" w:eastAsia="Times New Roman"/>
          <w:color w:val="000000"/>
          <w:spacing w:val="0"/>
          <w:position w:val="0"/>
          <w:sz w:val="20"/>
          <w:shd w:fill="auto" w:val="clear"/>
        </w:rPr>
        <w:t xml:space="preserve"> </w:t>
      </w:r>
      <w:r>
        <w:rPr>
          <w:rFonts w:ascii="Times New Roman" w:hAnsi="Times New Roman" w:cs="Times New Roman" w:eastAsia="Times New Roman"/>
          <w:color w:val="000000"/>
          <w:spacing w:val="0"/>
          <w:position w:val="0"/>
          <w:sz w:val="20"/>
          <w:shd w:fill="auto" w:val="clear"/>
        </w:rPr>
        <w:t xml:space="preserve">географией, историей, литературой. Однако и учитель математики может обогатить содержание своей работы с учащимися сведениями этнокультурного характера</w:t>
      </w:r>
      <w:r>
        <w:rPr>
          <w:rFonts w:ascii="Times New Roman" w:hAnsi="Times New Roman" w:cs="Times New Roman" w:eastAsia="Times New Roman"/>
          <w:color w:val="000000"/>
          <w:spacing w:val="-20"/>
          <w:position w:val="0"/>
          <w:sz w:val="20"/>
          <w:shd w:fill="FFFFFF" w:val="clear"/>
        </w:rPr>
        <w:t xml:space="preserve">.</w:t>
      </w:r>
    </w:p>
    <w:p>
      <w:pPr>
        <w:spacing w:before="0" w:after="0" w:line="240"/>
        <w:ind w:right="0" w:left="0" w:firstLine="426"/>
        <w:jc w:val="both"/>
        <w:rPr>
          <w:rFonts w:ascii="Times New Roman" w:hAnsi="Times New Roman" w:cs="Times New Roman" w:eastAsia="Times New Roman"/>
          <w:color w:val="000000"/>
          <w:spacing w:val="0"/>
          <w:position w:val="0"/>
          <w:sz w:val="20"/>
          <w:shd w:fill="FFFFFF" w:val="clear"/>
        </w:rPr>
      </w:pPr>
      <w:r>
        <w:rPr>
          <w:rFonts w:ascii="Times New Roman" w:hAnsi="Times New Roman" w:cs="Times New Roman" w:eastAsia="Times New Roman"/>
          <w:color w:val="000000"/>
          <w:spacing w:val="0"/>
          <w:position w:val="0"/>
          <w:sz w:val="20"/>
          <w:shd w:fill="FFFFFF" w:val="clear"/>
        </w:rPr>
        <w:t xml:space="preserve">Этнокультурный компонент воспитывает у школьников духовную, нравственную, территориальную причастность к истории своего села, города, края, заставляет проявить интерес к прошлому и настоящему при решении задач, связанных с историческими данными г. Уфа и Республики Башкортостан, то есть формирует ценности, которые прописаны в задачах ФГОС ООО: патриотизм, духовность, национальное самосознание, неразрывную связь с предшествующим поколением и историей. </w:t>
      </w:r>
      <w:r>
        <w:rPr>
          <w:rFonts w:ascii="Times New Roman" w:hAnsi="Times New Roman" w:cs="Times New Roman" w:eastAsia="Times New Roman"/>
          <w:color w:val="000000"/>
          <w:spacing w:val="0"/>
          <w:position w:val="0"/>
          <w:sz w:val="20"/>
          <w:shd w:fill="auto" w:val="clear"/>
        </w:rPr>
        <w:t xml:space="preserve">[1]</w:t>
      </w:r>
    </w:p>
    <w:p>
      <w:pPr>
        <w:spacing w:before="0" w:after="0" w:line="240"/>
        <w:ind w:right="0" w:left="0" w:firstLine="426"/>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Одной из ведущих задач на всех этапах обучения предмету является активизация познавательной деятельности и развитие творческого мышления. Математика дает возможности для развития познавательных способностей обучающихся. Учащиеся проявляют  больший интерес к решению задач с национально-региональным содержанием. Программа позволяет включать в процесс обучения задачи на различных этапах обучения и урока: при устном счете, при объяснении и закреплении изучаемого материала, на этапе отработки и контроля знаний. </w:t>
      </w:r>
    </w:p>
    <w:p>
      <w:pPr>
        <w:spacing w:before="0" w:after="0" w:line="240"/>
        <w:ind w:right="0" w:left="0" w:firstLine="426"/>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Следующие задачи можно рассмотреть при решении задач на проценты начиная с 5 класса, а также при подготовке к ОГЭ и ЕГЭ:</w:t>
      </w:r>
    </w:p>
    <w:p>
      <w:pPr>
        <w:spacing w:before="0" w:after="0" w:line="240"/>
        <w:ind w:right="0" w:left="0" w:firstLine="426"/>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По данным Росстата на 1 января 2018 году в Башкортостане численность сельчан составила  2 523 305 чел., а горожан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1</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539</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988 </w:t>
      </w:r>
      <w:r>
        <w:rPr>
          <w:rFonts w:ascii="Times New Roman" w:hAnsi="Times New Roman" w:cs="Times New Roman" w:eastAsia="Times New Roman"/>
          <w:color w:val="auto"/>
          <w:spacing w:val="0"/>
          <w:position w:val="0"/>
          <w:sz w:val="20"/>
          <w:shd w:fill="auto" w:val="clear"/>
        </w:rPr>
        <w:t xml:space="preserve">чел. Сколько % составляют сельчане, а сколько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горожане? Ответы округлите до целых.</w:t>
      </w:r>
    </w:p>
    <w:p>
      <w:pPr>
        <w:spacing w:before="0" w:after="0" w:line="240"/>
        <w:ind w:right="0" w:left="0" w:firstLine="426"/>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Башкортостан занимает площадь 142 947 км</w:t>
      </w:r>
      <w:r>
        <w:rPr>
          <w:rFonts w:ascii="Times New Roman" w:hAnsi="Times New Roman" w:cs="Times New Roman" w:eastAsia="Times New Roman"/>
          <w:color w:val="auto"/>
          <w:spacing w:val="0"/>
          <w:position w:val="0"/>
          <w:sz w:val="20"/>
          <w:shd w:fill="auto" w:val="clear"/>
          <w:vertAlign w:val="superscript"/>
        </w:rPr>
        <w:t xml:space="preserve">2</w:t>
      </w:r>
      <w:r>
        <w:rPr>
          <w:rFonts w:ascii="Times New Roman" w:hAnsi="Times New Roman" w:cs="Times New Roman" w:eastAsia="Times New Roman"/>
          <w:color w:val="auto"/>
          <w:spacing w:val="0"/>
          <w:position w:val="0"/>
          <w:sz w:val="20"/>
          <w:shd w:fill="auto" w:val="clear"/>
        </w:rPr>
        <w:t xml:space="preserve">, что составляет 0,835 % территории России. Какова площадь России?</w:t>
      </w:r>
    </w:p>
    <w:p>
      <w:pPr>
        <w:spacing w:before="0" w:after="0" w:line="240"/>
        <w:ind w:right="0" w:left="0" w:firstLine="426"/>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Башкортостан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республика многонациональная. В основном на территории проживают русские, башкиры, татары. По данным переписи населения 2010 года русские составляют 443 737 чел, башкиры 333 112 чел, татары 43 392 чел. На сколько % русских больше, чем башкир, башкир больше, чем татар? Ответы округлите сотых.</w:t>
      </w:r>
    </w:p>
    <w:p>
      <w:pPr>
        <w:spacing w:before="0" w:after="0" w:line="240"/>
        <w:ind w:right="0" w:left="0" w:firstLine="426"/>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На долю трех основных национальностей (башкиры, русские, татары) приходится 98,3% всего населения республики.  Сколько человек других национальностей  проживает в Башкортостане?</w:t>
      </w:r>
    </w:p>
    <w:p>
      <w:pPr>
        <w:spacing w:before="0" w:after="0" w:line="240"/>
        <w:ind w:right="0" w:left="0" w:firstLine="426"/>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 </w:t>
      </w:r>
      <w:r>
        <w:rPr>
          <w:rFonts w:ascii="Times New Roman" w:hAnsi="Times New Roman" w:cs="Times New Roman" w:eastAsia="Times New Roman"/>
          <w:color w:val="auto"/>
          <w:spacing w:val="0"/>
          <w:position w:val="0"/>
          <w:sz w:val="20"/>
          <w:shd w:fill="auto" w:val="clear"/>
        </w:rPr>
        <w:t xml:space="preserve">Данные переписи 2010 года свидетельствуют о характерном для населения всей России значительном превышении численности женщин над численностью мужчин. В Республике Башкортостан  переписью учтено  1 902 562 тыс. мужчин и 2 405 401 женщин.  Сколько % составляют мужчины и сколько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женщины? Ответ округлите до целых.</w:t>
      </w:r>
    </w:p>
    <w:p>
      <w:pPr>
        <w:spacing w:before="0" w:after="0" w:line="240"/>
        <w:ind w:right="0" w:left="0" w:firstLine="426"/>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 </w:t>
      </w:r>
      <w:r>
        <w:rPr>
          <w:rFonts w:ascii="Times New Roman" w:hAnsi="Times New Roman" w:cs="Times New Roman" w:eastAsia="Times New Roman"/>
          <w:color w:val="auto"/>
          <w:spacing w:val="0"/>
          <w:position w:val="0"/>
          <w:sz w:val="20"/>
          <w:shd w:fill="auto" w:val="clear"/>
        </w:rPr>
        <w:t xml:space="preserve">По данным Всероссийской переписи населения, проведенной 14 октября 2010 года, население республики проживает в 21 городском населенном пункте (городах и поселках городского типа) и 1250 сельских населенных пунктах. Численность городского населения Республики Башкортостан составила 2 504 336 человек. Более половины горожан  59%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жители города Уфа. Какое население в Уфе? </w:t>
      </w:r>
    </w:p>
    <w:p>
      <w:pPr>
        <w:spacing w:before="0" w:after="0" w:line="240"/>
        <w:ind w:right="0" w:left="0" w:firstLine="426"/>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7. </w:t>
      </w:r>
      <w:r>
        <w:rPr>
          <w:rFonts w:ascii="Times New Roman" w:hAnsi="Times New Roman" w:cs="Times New Roman" w:eastAsia="Times New Roman"/>
          <w:color w:val="auto"/>
          <w:spacing w:val="0"/>
          <w:position w:val="0"/>
          <w:sz w:val="20"/>
          <w:shd w:fill="FFFFFF" w:val="clear"/>
        </w:rPr>
        <w:t xml:space="preserve">Сельское хозяйство в конце 1940-х - начале 1950-х годов развивалось бурно, например с 1945 по 1950 г. поголовье скота в колхозах возросло: крупного рогатого скота (КРС) </w:t>
      </w:r>
      <w:r>
        <w:rPr>
          <w:rFonts w:ascii="Times New Roman" w:hAnsi="Times New Roman" w:cs="Times New Roman" w:eastAsia="Times New Roman"/>
          <w:color w:val="auto"/>
          <w:spacing w:val="0"/>
          <w:position w:val="0"/>
          <w:sz w:val="20"/>
          <w:shd w:fill="FFFFFF" w:val="clear"/>
        </w:rPr>
        <w:t xml:space="preserve">–</w:t>
      </w: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0"/>
          <w:shd w:fill="FFFFFF" w:val="clear"/>
        </w:rPr>
        <w:t xml:space="preserve">с 184,6 до 347,4 тыс., лошадей </w:t>
      </w:r>
      <w:r>
        <w:rPr>
          <w:rFonts w:ascii="Times New Roman" w:hAnsi="Times New Roman" w:cs="Times New Roman" w:eastAsia="Times New Roman"/>
          <w:color w:val="auto"/>
          <w:spacing w:val="0"/>
          <w:position w:val="0"/>
          <w:sz w:val="20"/>
          <w:shd w:fill="FFFFFF" w:val="clear"/>
        </w:rPr>
        <w:t xml:space="preserve">–</w:t>
      </w: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0"/>
          <w:shd w:fill="FFFFFF" w:val="clear"/>
        </w:rPr>
        <w:t xml:space="preserve">с 192,2 до 248,8 тыс.</w:t>
      </w:r>
      <w:r>
        <w:rPr>
          <w:rFonts w:ascii="Times New Roman" w:hAnsi="Times New Roman" w:cs="Times New Roman" w:eastAsia="Times New Roman"/>
          <w:color w:val="auto"/>
          <w:spacing w:val="0"/>
          <w:position w:val="0"/>
          <w:sz w:val="20"/>
          <w:shd w:fill="auto" w:val="clear"/>
        </w:rPr>
        <w:t xml:space="preserve"> На сколько процентов увеличилось число животных?</w:t>
      </w:r>
    </w:p>
    <w:p>
      <w:pPr>
        <w:spacing w:before="0" w:after="0" w:line="240"/>
        <w:ind w:right="0" w:left="0" w:firstLine="426"/>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8. </w:t>
      </w:r>
      <w:r>
        <w:rPr>
          <w:rFonts w:ascii="Times New Roman" w:hAnsi="Times New Roman" w:cs="Times New Roman" w:eastAsia="Times New Roman"/>
          <w:color w:val="auto"/>
          <w:spacing w:val="0"/>
          <w:position w:val="0"/>
          <w:sz w:val="20"/>
          <w:shd w:fill="auto" w:val="clear"/>
        </w:rPr>
        <w:t xml:space="preserve">Численность населения в 1989 году составляла 3 950 500 чел., а в 2010 году 4 072 100 чел. На сколько процентов выросло население за 21 год?</w:t>
      </w:r>
    </w:p>
    <w:p>
      <w:pPr>
        <w:spacing w:before="0" w:after="0" w:line="240"/>
        <w:ind w:right="0" w:left="0" w:firstLine="426"/>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9. </w:t>
      </w:r>
      <w:r>
        <w:rPr>
          <w:rFonts w:ascii="Arial" w:hAnsi="Arial" w:cs="Arial" w:eastAsia="Arial"/>
          <w:color w:val="auto"/>
          <w:spacing w:val="0"/>
          <w:position w:val="0"/>
          <w:sz w:val="21"/>
          <w:shd w:fill="FFFFFF" w:val="clear"/>
        </w:rPr>
        <w:t xml:space="preserve"> </w:t>
      </w:r>
      <w:r>
        <w:rPr>
          <w:rFonts w:ascii="Times New Roman" w:hAnsi="Times New Roman" w:cs="Times New Roman" w:eastAsia="Times New Roman"/>
          <w:color w:val="auto"/>
          <w:spacing w:val="0"/>
          <w:position w:val="0"/>
          <w:sz w:val="20"/>
          <w:shd w:fill="FFFFFF" w:val="clear"/>
        </w:rPr>
        <w:t xml:space="preserve">Площадь Гафурийского района составляет 3039 км</w:t>
      </w:r>
      <w:r>
        <w:rPr>
          <w:rFonts w:ascii="Times New Roman" w:hAnsi="Times New Roman" w:cs="Times New Roman" w:eastAsia="Times New Roman"/>
          <w:color w:val="auto"/>
          <w:spacing w:val="0"/>
          <w:position w:val="0"/>
          <w:sz w:val="20"/>
          <w:shd w:fill="FFFFFF" w:val="clear"/>
        </w:rPr>
        <w:t xml:space="preserve">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 Республики Башкортостан 142 947 </w:t>
      </w:r>
      <w:r>
        <w:rPr>
          <w:rFonts w:ascii="Times New Roman" w:hAnsi="Times New Roman" w:cs="Times New Roman" w:eastAsia="Times New Roman"/>
          <w:color w:val="auto"/>
          <w:spacing w:val="0"/>
          <w:position w:val="0"/>
          <w:sz w:val="20"/>
          <w:shd w:fill="FFFFFF" w:val="clear"/>
        </w:rPr>
        <w:t xml:space="preserve">км</w:t>
      </w:r>
      <w:r>
        <w:rPr>
          <w:rFonts w:ascii="Times New Roman" w:hAnsi="Times New Roman" w:cs="Times New Roman" w:eastAsia="Times New Roman"/>
          <w:color w:val="auto"/>
          <w:spacing w:val="0"/>
          <w:position w:val="0"/>
          <w:sz w:val="20"/>
          <w:shd w:fill="FFFFFF" w:val="clear"/>
        </w:rPr>
        <w:t xml:space="preserve">²</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Сколько % от общей площади занимает район?</w:t>
      </w:r>
    </w:p>
    <w:p>
      <w:pPr>
        <w:spacing w:before="0" w:after="0" w:line="240"/>
        <w:ind w:right="0" w:left="0" w:firstLine="426"/>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СПИСОК ИСПОЛЬЗОВАННОЙ ЛИТЕРАТУРЫ</w:t>
      </w:r>
    </w:p>
    <w:p>
      <w:pPr>
        <w:spacing w:before="0" w:after="0" w:line="240"/>
        <w:ind w:right="0" w:left="0" w:firstLine="426"/>
        <w:jc w:val="both"/>
        <w:rPr>
          <w:rFonts w:ascii="Times New Roman" w:hAnsi="Times New Roman" w:cs="Times New Roman" w:eastAsia="Times New Roman"/>
          <w:color w:val="0000FF"/>
          <w:spacing w:val="0"/>
          <w:position w:val="0"/>
          <w:sz w:val="20"/>
          <w:u w:val="single"/>
          <w:shd w:fill="auto" w:val="clear"/>
        </w:rPr>
      </w:pPr>
      <w:r>
        <w:rPr>
          <w:rFonts w:ascii="Times New Roman" w:hAnsi="Times New Roman" w:cs="Times New Roman" w:eastAsia="Times New Roman"/>
          <w:color w:val="auto"/>
          <w:spacing w:val="0"/>
          <w:position w:val="0"/>
          <w:sz w:val="20"/>
          <w:shd w:fill="FFFFFF" w:val="clear"/>
        </w:rPr>
        <w:t xml:space="preserve">1. </w:t>
      </w:r>
      <w:r>
        <w:rPr>
          <w:rFonts w:ascii="Times New Roman" w:hAnsi="Times New Roman" w:cs="Times New Roman" w:eastAsia="Times New Roman"/>
          <w:color w:val="auto"/>
          <w:spacing w:val="0"/>
          <w:position w:val="0"/>
          <w:sz w:val="20"/>
          <w:shd w:fill="FFFFFF" w:val="clear"/>
        </w:rPr>
        <w:t xml:space="preserve">Николина Г. В. Курсовая работа </w:t>
      </w:r>
      <w:r>
        <w:rPr>
          <w:rFonts w:ascii="Times New Roman" w:hAnsi="Times New Roman" w:cs="Times New Roman" w:eastAsia="Times New Roman"/>
          <w:color w:val="auto"/>
          <w:spacing w:val="0"/>
          <w:position w:val="0"/>
          <w:sz w:val="20"/>
          <w:shd w:fill="FFFFFF" w:val="clear"/>
        </w:rPr>
        <w:t xml:space="preserve">«</w:t>
      </w:r>
      <w:r>
        <w:rPr>
          <w:rFonts w:ascii="Times New Roman" w:hAnsi="Times New Roman" w:cs="Times New Roman" w:eastAsia="Times New Roman"/>
          <w:color w:val="auto"/>
          <w:spacing w:val="0"/>
          <w:position w:val="0"/>
          <w:sz w:val="20"/>
          <w:shd w:fill="FFFFFF" w:val="clear"/>
        </w:rPr>
        <w:t xml:space="preserve">Использования национально-регионального компонента в процессе обучения математики</w:t>
      </w:r>
      <w:r>
        <w:rPr>
          <w:rFonts w:ascii="Times New Roman" w:hAnsi="Times New Roman" w:cs="Times New Roman" w:eastAsia="Times New Roman"/>
          <w:color w:val="auto"/>
          <w:spacing w:val="0"/>
          <w:position w:val="0"/>
          <w:sz w:val="20"/>
          <w:shd w:fill="FFFFFF" w:val="clear"/>
        </w:rPr>
        <w:t xml:space="preserve">».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Электронный ресурс]/ </w:t>
      </w:r>
      <w:r>
        <w:rPr>
          <w:rFonts w:ascii="Times New Roman" w:hAnsi="Times New Roman" w:cs="Times New Roman" w:eastAsia="Times New Roman"/>
          <w:color w:val="auto"/>
          <w:spacing w:val="0"/>
          <w:position w:val="0"/>
          <w:sz w:val="20"/>
          <w:shd w:fill="FFFFFF" w:val="clear"/>
        </w:rPr>
        <w:t xml:space="preserve">Николина Г. В.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URL: </w:t>
      </w:r>
      <w:hyperlink xmlns:r="http://schemas.openxmlformats.org/officeDocument/2006/relationships" r:id="docRId0">
        <w:r>
          <w:rPr>
            <w:rFonts w:ascii="Times New Roman" w:hAnsi="Times New Roman" w:cs="Times New Roman" w:eastAsia="Times New Roman"/>
            <w:color w:val="0000FF"/>
            <w:spacing w:val="0"/>
            <w:position w:val="0"/>
            <w:sz w:val="20"/>
            <w:u w:val="single"/>
            <w:shd w:fill="auto" w:val="clear"/>
          </w:rPr>
          <w:t xml:space="preserve">https</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videouroki</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net</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razrabotki</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kursovaya</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rabota</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na</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temu</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ispolzovanie</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natsionalno</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regionalnogo</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komponenta</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v</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protsesse</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obucheniya</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matematiki</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"https://videouroki.net/razrabotki/kursovaya-rabota-na-temu-ispolzovanie-natsionalno-regionalnogo-komponenta-v-protsesse-obucheniya-matematiki.html"</w:t>
        </w:r>
        <w:r>
          <w:rPr>
            <w:rFonts w:ascii="Times New Roman" w:hAnsi="Times New Roman" w:cs="Times New Roman" w:eastAsia="Times New Roman"/>
            <w:color w:val="0000FF"/>
            <w:spacing w:val="0"/>
            <w:position w:val="0"/>
            <w:sz w:val="20"/>
            <w:u w:val="single"/>
            <w:shd w:fill="auto" w:val="clear"/>
          </w:rPr>
          <w:t xml:space="preserve">html</w:t>
        </w:r>
      </w:hyperlink>
    </w:p>
    <w:p>
      <w:pPr>
        <w:spacing w:before="0" w:after="0" w:line="240"/>
        <w:ind w:right="0" w:left="0" w:firstLine="426"/>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Салаватова С.С. Математика в свете реализации национально-регионального компонента содержания школьного образования /С.С. Салаватова // Наука и школа.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2007.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С.17-20.</w:t>
      </w:r>
    </w:p>
    <w:p>
      <w:pPr>
        <w:spacing w:before="0" w:after="0" w:line="240"/>
        <w:ind w:right="0" w:left="0" w:firstLine="426"/>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Салаватова С.С. Система методической подготовки будущих учителей математики в условиях национального региона: Монография / С. С. Салаватова.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Стерлитамак: Стерлитамак.гос. пед. академия, 2008.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152 </w:t>
      </w:r>
      <w:r>
        <w:rPr>
          <w:rFonts w:ascii="Times New Roman" w:hAnsi="Times New Roman" w:cs="Times New Roman" w:eastAsia="Times New Roman"/>
          <w:color w:val="auto"/>
          <w:spacing w:val="0"/>
          <w:position w:val="0"/>
          <w:sz w:val="20"/>
          <w:shd w:fill="auto" w:val="clear"/>
        </w:rPr>
        <w:t xml:space="preserve">с. </w:t>
      </w:r>
    </w:p>
    <w:p>
      <w:pPr>
        <w:spacing w:before="0" w:after="0" w:line="240"/>
        <w:ind w:right="0" w:left="0" w:firstLine="426"/>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Федеральный государственный образовательный стандарт основного общего образования [Электронный ресурс].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URL: </w:t>
      </w:r>
      <w:hyperlink xmlns:r="http://schemas.openxmlformats.org/officeDocument/2006/relationships" r:id="docRId1">
        <w:r>
          <w:rPr>
            <w:rFonts w:ascii="Times New Roman" w:hAnsi="Times New Roman" w:cs="Times New Roman" w:eastAsia="Times New Roman"/>
            <w:color w:val="0000FF"/>
            <w:spacing w:val="0"/>
            <w:position w:val="0"/>
            <w:sz w:val="20"/>
            <w:u w:val="single"/>
            <w:shd w:fill="auto" w:val="clear"/>
          </w:rPr>
          <w:t xml:space="preserve">http://</w:t>
        </w:r>
        <w:r>
          <w:rPr>
            <w:rFonts w:ascii="Times New Roman" w:hAnsi="Times New Roman" w:cs="Times New Roman" w:eastAsia="Times New Roman"/>
            <w:color w:val="0000FF"/>
            <w:spacing w:val="0"/>
            <w:position w:val="0"/>
            <w:sz w:val="20"/>
            <w:u w:val="single"/>
            <w:shd w:fill="auto" w:val="clear"/>
          </w:rPr>
          <w:t xml:space="preserve">минобрнауки.рф/документы/938</w:t>
        </w:r>
      </w:hyperlink>
      <w:r>
        <w:rPr>
          <w:rFonts w:ascii="Times New Roman" w:hAnsi="Times New Roman" w:cs="Times New Roman" w:eastAsia="Times New Roman"/>
          <w:color w:val="auto"/>
          <w:spacing w:val="0"/>
          <w:position w:val="0"/>
          <w:sz w:val="20"/>
          <w:shd w:fill="auto" w:val="clear"/>
        </w:rPr>
        <w:t xml:space="preserve">. </w:t>
      </w:r>
    </w:p>
    <w:p>
      <w:pPr>
        <w:spacing w:before="0" w:after="0" w:line="240"/>
        <w:ind w:right="0" w:left="0" w:firstLine="426"/>
        <w:jc w:val="both"/>
        <w:rPr>
          <w:rFonts w:ascii="Times New Roman" w:hAnsi="Times New Roman" w:cs="Times New Roman" w:eastAsia="Times New Roman"/>
          <w:color w:val="000000"/>
          <w:spacing w:val="0"/>
          <w:position w:val="0"/>
          <w:sz w:val="20"/>
          <w:shd w:fill="FFFFFF" w:val="clear"/>
        </w:rPr>
      </w:pPr>
    </w:p>
    <w:p>
      <w:pPr>
        <w:spacing w:before="0" w:after="0" w:line="240"/>
        <w:ind w:right="0" w:left="0" w:firstLine="426"/>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Шпортько Е. С. </w:t>
      </w:r>
    </w:p>
    <w:p>
      <w:pPr>
        <w:spacing w:before="0" w:after="0" w:line="240"/>
        <w:ind w:right="0" w:left="0" w:firstLine="426"/>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МБОУ Школа </w:t>
      </w:r>
      <w:r>
        <w:rPr>
          <w:rFonts w:ascii="Segoe UI Symbol" w:hAnsi="Segoe UI Symbol" w:cs="Segoe UI Symbol" w:eastAsia="Segoe UI Symbol"/>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8, </w:t>
      </w:r>
      <w:r>
        <w:rPr>
          <w:rFonts w:ascii="Times New Roman" w:hAnsi="Times New Roman" w:cs="Times New Roman" w:eastAsia="Times New Roman"/>
          <w:color w:val="auto"/>
          <w:spacing w:val="0"/>
          <w:position w:val="0"/>
          <w:sz w:val="20"/>
          <w:shd w:fill="auto" w:val="clear"/>
        </w:rPr>
        <w:t xml:space="preserve">учитель математики</w:t>
      </w:r>
    </w:p>
    <w:p>
      <w:pPr>
        <w:spacing w:before="0" w:after="0" w:line="240"/>
        <w:ind w:right="0" w:left="0" w:firstLine="426"/>
        <w:jc w:val="right"/>
        <w:rPr>
          <w:rFonts w:ascii="Times New Roman" w:hAnsi="Times New Roman" w:cs="Times New Roman" w:eastAsia="Times New Roman"/>
          <w:color w:val="auto"/>
          <w:spacing w:val="0"/>
          <w:position w:val="0"/>
          <w:sz w:val="20"/>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0"/>
            <w:u w:val="single"/>
            <w:shd w:fill="auto" w:val="clear"/>
          </w:rPr>
          <w:t xml:space="preserve">katik</w:t>
        </w:r>
        <w:r>
          <w:rPr>
            <w:rFonts w:ascii="Times New Roman" w:hAnsi="Times New Roman" w:cs="Times New Roman" w:eastAsia="Times New Roman"/>
            <w:color w:val="0000FF"/>
            <w:spacing w:val="0"/>
            <w:position w:val="0"/>
            <w:sz w:val="20"/>
            <w:u w:val="single"/>
            <w:shd w:fill="auto" w:val="clear"/>
          </w:rPr>
          <w:t xml:space="preserve"> HYPERLINK "mailto:katik-r19@mail.ru"</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"mailto:katik-r19@mail.ru"</w:t>
        </w:r>
        <w:r>
          <w:rPr>
            <w:rFonts w:ascii="Times New Roman" w:hAnsi="Times New Roman" w:cs="Times New Roman" w:eastAsia="Times New Roman"/>
            <w:color w:val="0000FF"/>
            <w:spacing w:val="0"/>
            <w:position w:val="0"/>
            <w:sz w:val="20"/>
            <w:u w:val="single"/>
            <w:shd w:fill="auto" w:val="clear"/>
          </w:rPr>
          <w:t xml:space="preserve">r</w:t>
        </w:r>
        <w:r>
          <w:rPr>
            <w:rFonts w:ascii="Times New Roman" w:hAnsi="Times New Roman" w:cs="Times New Roman" w:eastAsia="Times New Roman"/>
            <w:color w:val="0000FF"/>
            <w:spacing w:val="0"/>
            <w:position w:val="0"/>
            <w:sz w:val="20"/>
            <w:u w:val="single"/>
            <w:shd w:fill="auto" w:val="clear"/>
          </w:rPr>
          <w:t xml:space="preserve"> HYPERLINK "mailto:katik-r19@mail.ru"</w:t>
        </w:r>
        <w:r>
          <w:rPr>
            <w:rFonts w:ascii="Times New Roman" w:hAnsi="Times New Roman" w:cs="Times New Roman" w:eastAsia="Times New Roman"/>
            <w:color w:val="0000FF"/>
            <w:spacing w:val="0"/>
            <w:position w:val="0"/>
            <w:sz w:val="20"/>
            <w:u w:val="single"/>
            <w:shd w:fill="auto" w:val="clear"/>
          </w:rPr>
          <w:t xml:space="preserve">19</w:t>
        </w:r>
        <w:r>
          <w:rPr>
            <w:rFonts w:ascii="Times New Roman" w:hAnsi="Times New Roman" w:cs="Times New Roman" w:eastAsia="Times New Roman"/>
            <w:color w:val="0000FF"/>
            <w:spacing w:val="0"/>
            <w:position w:val="0"/>
            <w:sz w:val="20"/>
            <w:u w:val="single"/>
            <w:shd w:fill="auto" w:val="clear"/>
          </w:rPr>
          <w:t xml:space="preserve"> HYPERLINK "mailto:katik-r19@mail.ru"</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"mailto:katik-r19@mail.ru"</w:t>
        </w:r>
        <w:r>
          <w:rPr>
            <w:rFonts w:ascii="Times New Roman" w:hAnsi="Times New Roman" w:cs="Times New Roman" w:eastAsia="Times New Roman"/>
            <w:color w:val="0000FF"/>
            <w:spacing w:val="0"/>
            <w:position w:val="0"/>
            <w:sz w:val="20"/>
            <w:u w:val="single"/>
            <w:shd w:fill="auto" w:val="clear"/>
          </w:rPr>
          <w:t xml:space="preserve">mail</w:t>
        </w:r>
        <w:r>
          <w:rPr>
            <w:rFonts w:ascii="Times New Roman" w:hAnsi="Times New Roman" w:cs="Times New Roman" w:eastAsia="Times New Roman"/>
            <w:color w:val="0000FF"/>
            <w:spacing w:val="0"/>
            <w:position w:val="0"/>
            <w:sz w:val="20"/>
            <w:u w:val="single"/>
            <w:shd w:fill="auto" w:val="clear"/>
          </w:rPr>
          <w:t xml:space="preserve"> HYPERLINK "mailto:katik-r19@mail.ru"</w:t>
        </w:r>
        <w:r>
          <w:rPr>
            <w:rFonts w:ascii="Times New Roman" w:hAnsi="Times New Roman" w:cs="Times New Roman" w:eastAsia="Times New Roman"/>
            <w:color w:val="0000FF"/>
            <w:spacing w:val="0"/>
            <w:position w:val="0"/>
            <w:sz w:val="20"/>
            <w:u w:val="single"/>
            <w:shd w:fill="auto" w:val="clear"/>
          </w:rPr>
          <w:t xml:space="preserve">.</w:t>
        </w:r>
        <w:r>
          <w:rPr>
            <w:rFonts w:ascii="Times New Roman" w:hAnsi="Times New Roman" w:cs="Times New Roman" w:eastAsia="Times New Roman"/>
            <w:color w:val="0000FF"/>
            <w:spacing w:val="0"/>
            <w:position w:val="0"/>
            <w:sz w:val="20"/>
            <w:u w:val="single"/>
            <w:shd w:fill="auto" w:val="clear"/>
          </w:rPr>
          <w:t xml:space="preserve"> HYPERLINK "mailto:katik-r19@mail.ru"</w:t>
        </w:r>
        <w:r>
          <w:rPr>
            <w:rFonts w:ascii="Times New Roman" w:hAnsi="Times New Roman" w:cs="Times New Roman" w:eastAsia="Times New Roman"/>
            <w:color w:val="0000FF"/>
            <w:spacing w:val="0"/>
            <w:position w:val="0"/>
            <w:sz w:val="20"/>
            <w:u w:val="single"/>
            <w:shd w:fill="auto" w:val="clear"/>
          </w:rPr>
          <w:t xml:space="preserve">ru</w:t>
        </w:r>
      </w:hyperlink>
    </w:p>
    <w:p>
      <w:pPr>
        <w:spacing w:before="0" w:after="0" w:line="240"/>
        <w:ind w:right="0" w:left="0" w:firstLine="426"/>
        <w:jc w:val="righ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0" w:firstLine="426"/>
        <w:jc w:val="righ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1084;&#1080;&#1085;&#1086;&#1073;&#1088;&#1085;&#1072;&#1091;&#1082;&#1080;.&#1088;&#1092;/&#1076;&#1086;&#1082;&#1091;&#1084;&#1077;&#1085;&#1090;&#1099;/938" Id="docRId1" Type="http://schemas.openxmlformats.org/officeDocument/2006/relationships/hyperlink" /><Relationship Target="numbering.xml" Id="docRId3" Type="http://schemas.openxmlformats.org/officeDocument/2006/relationships/numbering" /><Relationship TargetMode="External" Target="https://videouroki.net/razrabotki/kursovaya-rabota-na-temu-ispolzovanie-natsionalno-regionalnogo-komponenta-v-protsesse-obucheniya-matematiki.html" Id="docRId0" Type="http://schemas.openxmlformats.org/officeDocument/2006/relationships/hyperlink" /><Relationship TargetMode="External" Target="mailto:katik-r19@mail.ru" Id="docRId2" Type="http://schemas.openxmlformats.org/officeDocument/2006/relationships/hyperlink" /><Relationship Target="styles.xml" Id="docRId4" Type="http://schemas.openxmlformats.org/officeDocument/2006/relationships/styles" /></Relationships>
</file>